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A2" w:rsidRPr="00745E82" w:rsidRDefault="00E11EA2" w:rsidP="00E11EA2">
      <w:pPr>
        <w:jc w:val="left"/>
        <w:rPr>
          <w:rFonts w:asciiTheme="minorHAnsi" w:hAnsiTheme="minorHAnsi"/>
          <w:lang w:val="fr-BE"/>
        </w:rPr>
      </w:pPr>
      <w:r w:rsidRPr="00745E82">
        <w:rPr>
          <w:rFonts w:asciiTheme="minorHAnsi" w:hAnsiTheme="minorHAnsi"/>
          <w:lang w:val="fr-BE"/>
        </w:rPr>
        <w:t>Les conditions (générales) pour le transport de conteneurs ne peuvent être dissociées de la Convention-CMR</w:t>
      </w:r>
      <w:r>
        <w:rPr>
          <w:rFonts w:asciiTheme="minorHAnsi" w:hAnsiTheme="minorHAnsi"/>
          <w:lang w:val="fr-BE"/>
        </w:rPr>
        <w:t>,</w:t>
      </w:r>
      <w:r w:rsidRPr="00745E82">
        <w:rPr>
          <w:rFonts w:asciiTheme="minorHAnsi" w:hAnsiTheme="minorHAnsi"/>
          <w:lang w:val="fr-BE"/>
        </w:rPr>
        <w:t xml:space="preserve"> ni de la loi du 15 juillet 2013 concernant le transport de marchandises par route ou les conditions générales telles que mentionnées au verso de la lettre de voiture CMR.</w:t>
      </w:r>
    </w:p>
    <w:p w:rsidR="00E11EA2" w:rsidRPr="00745E82" w:rsidRDefault="00E11EA2" w:rsidP="00E11EA2">
      <w:pPr>
        <w:jc w:val="left"/>
        <w:rPr>
          <w:rFonts w:asciiTheme="minorHAnsi" w:hAnsiTheme="minorHAnsi"/>
          <w:lang w:val="fr-BE"/>
        </w:rPr>
      </w:pPr>
    </w:p>
    <w:p w:rsidR="00E11EA2" w:rsidRPr="00745E82" w:rsidRDefault="00E11EA2" w:rsidP="00E11EA2">
      <w:pPr>
        <w:jc w:val="left"/>
        <w:rPr>
          <w:rFonts w:asciiTheme="minorHAnsi" w:hAnsiTheme="minorHAnsi"/>
          <w:lang w:val="fr-BE"/>
        </w:rPr>
      </w:pPr>
      <w:r>
        <w:rPr>
          <w:rFonts w:asciiTheme="minorHAnsi" w:hAnsiTheme="minorHAnsi"/>
          <w:lang w:val="fr-BE"/>
        </w:rPr>
        <w:t xml:space="preserve">Les conditions (générales) pour le transport de conteneurs doivent être considérées comme un complément. Plus concrètement, les conditions (complémentaires) doivent permettre au transporteur de se prémunir contre des circonstances imprévisibles et de répercuter les coûts qui en découlent sur le donneur d’ordre du transport. </w:t>
      </w:r>
    </w:p>
    <w:p w:rsidR="00E11EA2" w:rsidRPr="00745E82" w:rsidRDefault="00E11EA2" w:rsidP="00E11EA2">
      <w:pPr>
        <w:jc w:val="left"/>
        <w:rPr>
          <w:rFonts w:asciiTheme="minorHAnsi" w:hAnsiTheme="minorHAnsi"/>
          <w:lang w:val="fr-BE"/>
        </w:rPr>
      </w:pPr>
    </w:p>
    <w:p w:rsidR="00E11EA2" w:rsidRPr="00745E82" w:rsidRDefault="00E11EA2" w:rsidP="00E11EA2">
      <w:pPr>
        <w:jc w:val="left"/>
        <w:rPr>
          <w:rFonts w:asciiTheme="minorHAnsi" w:hAnsiTheme="minorHAnsi"/>
          <w:lang w:val="fr-BE"/>
        </w:rPr>
      </w:pPr>
      <w:r>
        <w:rPr>
          <w:rFonts w:asciiTheme="minorHAnsi" w:hAnsiTheme="minorHAnsi"/>
          <w:lang w:val="fr-BE"/>
        </w:rPr>
        <w:t xml:space="preserve">Ce document contient une série d’exemples </w:t>
      </w:r>
      <w:r>
        <w:rPr>
          <w:rFonts w:asciiTheme="minorHAnsi" w:hAnsiTheme="minorHAnsi"/>
          <w:u w:val="single"/>
          <w:lang w:val="fr-BE"/>
        </w:rPr>
        <w:t xml:space="preserve">non </w:t>
      </w:r>
      <w:r w:rsidRPr="00E00108">
        <w:rPr>
          <w:rFonts w:asciiTheme="minorHAnsi" w:hAnsiTheme="minorHAnsi"/>
          <w:u w:val="single"/>
          <w:lang w:val="fr-BE"/>
        </w:rPr>
        <w:t>contraignants</w:t>
      </w:r>
      <w:r>
        <w:rPr>
          <w:rFonts w:asciiTheme="minorHAnsi" w:hAnsiTheme="minorHAnsi"/>
          <w:lang w:val="fr-BE"/>
        </w:rPr>
        <w:t xml:space="preserve"> de clauses possibles que vous pouvez utiliser, en tant que transporteur, pour rédiger vos propres conditions liées à votre société. Concrètement, des formulations d’exemples ont été reprises concernant :</w:t>
      </w:r>
    </w:p>
    <w:p w:rsidR="00E11EA2" w:rsidRPr="00745E82" w:rsidRDefault="00E11EA2" w:rsidP="00E11EA2">
      <w:pPr>
        <w:jc w:val="left"/>
        <w:rPr>
          <w:rFonts w:asciiTheme="minorHAnsi" w:hAnsiTheme="minorHAnsi"/>
          <w:lang w:val="fr-BE"/>
        </w:rPr>
      </w:pPr>
    </w:p>
    <w:p w:rsidR="00E11EA2" w:rsidRPr="00745E82" w:rsidRDefault="00E11EA2" w:rsidP="00E11EA2">
      <w:pPr>
        <w:numPr>
          <w:ilvl w:val="0"/>
          <w:numId w:val="1"/>
        </w:numPr>
        <w:ind w:hanging="357"/>
        <w:jc w:val="left"/>
        <w:rPr>
          <w:rFonts w:asciiTheme="minorHAnsi" w:hAnsiTheme="minorHAnsi"/>
          <w:i/>
          <w:lang w:val="fr-BE"/>
        </w:rPr>
      </w:pPr>
      <w:r>
        <w:rPr>
          <w:rFonts w:asciiTheme="minorHAnsi" w:hAnsiTheme="minorHAnsi"/>
          <w:i/>
          <w:lang w:val="fr-BE"/>
        </w:rPr>
        <w:t>les dispositions générales :</w:t>
      </w:r>
    </w:p>
    <w:p w:rsidR="00E11EA2" w:rsidRPr="00745E82" w:rsidRDefault="00E11EA2" w:rsidP="00E11EA2">
      <w:pPr>
        <w:numPr>
          <w:ilvl w:val="1"/>
          <w:numId w:val="2"/>
        </w:numPr>
        <w:jc w:val="left"/>
        <w:rPr>
          <w:rFonts w:asciiTheme="minorHAnsi" w:hAnsiTheme="minorHAnsi"/>
          <w:lang w:val="fr-BE"/>
        </w:rPr>
      </w:pPr>
      <w:r>
        <w:rPr>
          <w:rFonts w:asciiTheme="minorHAnsi" w:hAnsiTheme="minorHAnsi"/>
          <w:lang w:val="fr-BE"/>
        </w:rPr>
        <w:t xml:space="preserve">références à la </w:t>
      </w:r>
      <w:r w:rsidRPr="00745E82">
        <w:rPr>
          <w:rFonts w:asciiTheme="minorHAnsi" w:hAnsiTheme="minorHAnsi"/>
          <w:lang w:val="fr-BE"/>
        </w:rPr>
        <w:t>CMR e</w:t>
      </w:r>
      <w:r>
        <w:rPr>
          <w:rFonts w:asciiTheme="minorHAnsi" w:hAnsiTheme="minorHAnsi"/>
          <w:lang w:val="fr-BE"/>
        </w:rPr>
        <w:t>t aux conditions de transport générales</w:t>
      </w:r>
    </w:p>
    <w:p w:rsidR="00E11EA2" w:rsidRPr="00745E82" w:rsidRDefault="00E11EA2" w:rsidP="00E11EA2">
      <w:pPr>
        <w:numPr>
          <w:ilvl w:val="1"/>
          <w:numId w:val="2"/>
        </w:numPr>
        <w:jc w:val="left"/>
        <w:rPr>
          <w:rFonts w:asciiTheme="minorHAnsi" w:hAnsiTheme="minorHAnsi"/>
          <w:lang w:val="fr-BE"/>
        </w:rPr>
      </w:pPr>
      <w:r w:rsidRPr="00745E82">
        <w:rPr>
          <w:rFonts w:asciiTheme="minorHAnsi" w:hAnsiTheme="minorHAnsi"/>
          <w:lang w:val="fr-BE"/>
        </w:rPr>
        <w:t>d</w:t>
      </w:r>
      <w:r>
        <w:rPr>
          <w:rFonts w:asciiTheme="minorHAnsi" w:hAnsiTheme="minorHAnsi"/>
          <w:lang w:val="fr-BE"/>
        </w:rPr>
        <w:t>é</w:t>
      </w:r>
      <w:r w:rsidRPr="00745E82">
        <w:rPr>
          <w:rFonts w:asciiTheme="minorHAnsi" w:hAnsiTheme="minorHAnsi"/>
          <w:lang w:val="fr-BE"/>
        </w:rPr>
        <w:t>finiti</w:t>
      </w:r>
      <w:r>
        <w:rPr>
          <w:rFonts w:asciiTheme="minorHAnsi" w:hAnsiTheme="minorHAnsi"/>
          <w:lang w:val="fr-BE"/>
        </w:rPr>
        <w:t>on</w:t>
      </w:r>
      <w:r w:rsidRPr="00745E82">
        <w:rPr>
          <w:rFonts w:asciiTheme="minorHAnsi" w:hAnsiTheme="minorHAnsi"/>
          <w:lang w:val="fr-BE"/>
        </w:rPr>
        <w:t xml:space="preserve">s, </w:t>
      </w:r>
      <w:r>
        <w:rPr>
          <w:rFonts w:asciiTheme="minorHAnsi" w:hAnsiTheme="minorHAnsi"/>
          <w:lang w:val="fr-BE"/>
        </w:rPr>
        <w:t>choix de loi et disposition finale</w:t>
      </w:r>
    </w:p>
    <w:p w:rsidR="00E11EA2" w:rsidRPr="00745E82" w:rsidRDefault="00E11EA2" w:rsidP="00E11EA2">
      <w:pPr>
        <w:numPr>
          <w:ilvl w:val="0"/>
          <w:numId w:val="1"/>
        </w:numPr>
        <w:jc w:val="left"/>
        <w:rPr>
          <w:rFonts w:asciiTheme="minorHAnsi" w:hAnsiTheme="minorHAnsi"/>
          <w:i/>
          <w:lang w:val="fr-BE"/>
        </w:rPr>
      </w:pPr>
      <w:r>
        <w:rPr>
          <w:rFonts w:asciiTheme="minorHAnsi" w:hAnsiTheme="minorHAnsi"/>
          <w:i/>
          <w:lang w:val="fr-BE"/>
        </w:rPr>
        <w:t xml:space="preserve">les ordres de </w:t>
      </w:r>
      <w:r w:rsidRPr="00745E82">
        <w:rPr>
          <w:rFonts w:asciiTheme="minorHAnsi" w:hAnsiTheme="minorHAnsi"/>
          <w:i/>
          <w:lang w:val="fr-BE"/>
        </w:rPr>
        <w:t>transport</w:t>
      </w:r>
      <w:r>
        <w:rPr>
          <w:rFonts w:asciiTheme="minorHAnsi" w:hAnsiTheme="minorHAnsi"/>
          <w:i/>
          <w:lang w:val="fr-BE"/>
        </w:rPr>
        <w:t xml:space="preserve"> </w:t>
      </w:r>
      <w:r w:rsidRPr="00745E82">
        <w:rPr>
          <w:rFonts w:asciiTheme="minorHAnsi" w:hAnsiTheme="minorHAnsi"/>
          <w:i/>
          <w:lang w:val="fr-BE"/>
        </w:rPr>
        <w:t>:</w:t>
      </w:r>
    </w:p>
    <w:p w:rsidR="00E11EA2" w:rsidRPr="00745E82" w:rsidRDefault="00E11EA2" w:rsidP="00E11EA2">
      <w:pPr>
        <w:numPr>
          <w:ilvl w:val="1"/>
          <w:numId w:val="3"/>
        </w:numPr>
        <w:jc w:val="left"/>
        <w:rPr>
          <w:rFonts w:asciiTheme="minorHAnsi" w:hAnsiTheme="minorHAnsi"/>
          <w:lang w:val="fr-BE"/>
        </w:rPr>
      </w:pPr>
      <w:r>
        <w:rPr>
          <w:rFonts w:asciiTheme="minorHAnsi" w:hAnsiTheme="minorHAnsi"/>
          <w:lang w:val="fr-BE"/>
        </w:rPr>
        <w:t>comment livrer ?</w:t>
      </w:r>
    </w:p>
    <w:p w:rsidR="00E11EA2" w:rsidRPr="00745E82" w:rsidRDefault="00E11EA2" w:rsidP="00E11EA2">
      <w:pPr>
        <w:numPr>
          <w:ilvl w:val="1"/>
          <w:numId w:val="3"/>
        </w:numPr>
        <w:jc w:val="left"/>
        <w:rPr>
          <w:rFonts w:asciiTheme="minorHAnsi" w:hAnsiTheme="minorHAnsi"/>
          <w:lang w:val="fr-BE"/>
        </w:rPr>
      </w:pPr>
      <w:r>
        <w:rPr>
          <w:rFonts w:asciiTheme="minorHAnsi" w:hAnsiTheme="minorHAnsi"/>
          <w:lang w:val="fr-BE"/>
        </w:rPr>
        <w:t xml:space="preserve">qu’en est-il lors de </w:t>
      </w:r>
      <w:r w:rsidRPr="00745E82">
        <w:rPr>
          <w:rFonts w:asciiTheme="minorHAnsi" w:hAnsiTheme="minorHAnsi"/>
          <w:lang w:val="fr-BE"/>
        </w:rPr>
        <w:t>discussi</w:t>
      </w:r>
      <w:r>
        <w:rPr>
          <w:rFonts w:asciiTheme="minorHAnsi" w:hAnsiTheme="minorHAnsi"/>
          <w:lang w:val="fr-BE"/>
        </w:rPr>
        <w:t>on</w:t>
      </w:r>
      <w:r w:rsidRPr="00745E82">
        <w:rPr>
          <w:rFonts w:asciiTheme="minorHAnsi" w:hAnsiTheme="minorHAnsi"/>
          <w:lang w:val="fr-BE"/>
        </w:rPr>
        <w:t>s</w:t>
      </w:r>
      <w:r>
        <w:rPr>
          <w:rFonts w:asciiTheme="minorHAnsi" w:hAnsiTheme="minorHAnsi"/>
          <w:lang w:val="fr-BE"/>
        </w:rPr>
        <w:t xml:space="preserve"> </w:t>
      </w:r>
      <w:r w:rsidRPr="00745E82">
        <w:rPr>
          <w:rFonts w:asciiTheme="minorHAnsi" w:hAnsiTheme="minorHAnsi"/>
          <w:lang w:val="fr-BE"/>
        </w:rPr>
        <w:t>?</w:t>
      </w:r>
    </w:p>
    <w:p w:rsidR="00E11EA2" w:rsidRPr="00745E82" w:rsidRDefault="00E11EA2" w:rsidP="00E11EA2">
      <w:pPr>
        <w:numPr>
          <w:ilvl w:val="1"/>
          <w:numId w:val="3"/>
        </w:numPr>
        <w:jc w:val="left"/>
        <w:rPr>
          <w:rFonts w:asciiTheme="minorHAnsi" w:hAnsiTheme="minorHAnsi"/>
          <w:lang w:val="fr-BE"/>
        </w:rPr>
      </w:pPr>
      <w:r>
        <w:rPr>
          <w:rFonts w:asciiTheme="minorHAnsi" w:hAnsiTheme="minorHAnsi"/>
          <w:lang w:val="fr-BE"/>
        </w:rPr>
        <w:t>annulation</w:t>
      </w:r>
      <w:r w:rsidRPr="00745E82">
        <w:rPr>
          <w:rFonts w:asciiTheme="minorHAnsi" w:hAnsiTheme="minorHAnsi"/>
          <w:lang w:val="fr-BE"/>
        </w:rPr>
        <w:t xml:space="preserve">s </w:t>
      </w:r>
    </w:p>
    <w:p w:rsidR="00E11EA2" w:rsidRPr="00745E82" w:rsidRDefault="00E11EA2" w:rsidP="00E11EA2">
      <w:pPr>
        <w:numPr>
          <w:ilvl w:val="0"/>
          <w:numId w:val="1"/>
        </w:numPr>
        <w:jc w:val="left"/>
        <w:rPr>
          <w:rFonts w:asciiTheme="minorHAnsi" w:hAnsiTheme="minorHAnsi"/>
          <w:lang w:val="fr-BE"/>
        </w:rPr>
      </w:pPr>
      <w:r>
        <w:rPr>
          <w:rFonts w:asciiTheme="minorHAnsi" w:hAnsiTheme="minorHAnsi"/>
          <w:i/>
          <w:lang w:val="fr-BE"/>
        </w:rPr>
        <w:t xml:space="preserve">le prix de </w:t>
      </w:r>
      <w:proofErr w:type="gramStart"/>
      <w:r>
        <w:rPr>
          <w:rFonts w:asciiTheme="minorHAnsi" w:hAnsiTheme="minorHAnsi"/>
          <w:i/>
          <w:lang w:val="fr-BE"/>
        </w:rPr>
        <w:t>revient</w:t>
      </w:r>
      <w:r w:rsidRPr="00745E82">
        <w:rPr>
          <w:rFonts w:asciiTheme="minorHAnsi" w:hAnsiTheme="minorHAnsi"/>
          <w:i/>
          <w:lang w:val="fr-BE"/>
        </w:rPr>
        <w:t>:</w:t>
      </w:r>
      <w:proofErr w:type="gramEnd"/>
    </w:p>
    <w:p w:rsidR="00E11EA2" w:rsidRPr="00745E82" w:rsidRDefault="00E11EA2" w:rsidP="00E11EA2">
      <w:pPr>
        <w:numPr>
          <w:ilvl w:val="1"/>
          <w:numId w:val="4"/>
        </w:numPr>
        <w:jc w:val="left"/>
        <w:rPr>
          <w:rFonts w:asciiTheme="minorHAnsi" w:hAnsiTheme="minorHAnsi"/>
          <w:lang w:val="fr-BE"/>
        </w:rPr>
      </w:pPr>
      <w:r>
        <w:rPr>
          <w:rFonts w:asciiTheme="minorHAnsi" w:hAnsiTheme="minorHAnsi"/>
          <w:lang w:val="fr-BE"/>
        </w:rPr>
        <w:t>prix du transport et adaptation éventuelle</w:t>
      </w:r>
    </w:p>
    <w:p w:rsidR="00E11EA2" w:rsidRPr="00745E82" w:rsidRDefault="00E11EA2" w:rsidP="00E11EA2">
      <w:pPr>
        <w:numPr>
          <w:ilvl w:val="1"/>
          <w:numId w:val="4"/>
        </w:numPr>
        <w:jc w:val="left"/>
        <w:rPr>
          <w:rFonts w:asciiTheme="minorHAnsi" w:hAnsiTheme="minorHAnsi"/>
          <w:lang w:val="fr-BE"/>
        </w:rPr>
      </w:pPr>
      <w:r>
        <w:rPr>
          <w:rFonts w:asciiTheme="minorHAnsi" w:hAnsiTheme="minorHAnsi"/>
          <w:lang w:val="fr-BE"/>
        </w:rPr>
        <w:t>frais supplémentaires</w:t>
      </w:r>
    </w:p>
    <w:p w:rsidR="00E11EA2" w:rsidRPr="00745E82" w:rsidRDefault="00E11EA2" w:rsidP="00E11EA2">
      <w:pPr>
        <w:numPr>
          <w:ilvl w:val="0"/>
          <w:numId w:val="1"/>
        </w:numPr>
        <w:jc w:val="left"/>
        <w:rPr>
          <w:rFonts w:asciiTheme="minorHAnsi" w:hAnsiTheme="minorHAnsi"/>
          <w:lang w:val="fr-BE"/>
        </w:rPr>
      </w:pPr>
      <w:r>
        <w:rPr>
          <w:rFonts w:asciiTheme="minorHAnsi" w:hAnsiTheme="minorHAnsi"/>
          <w:i/>
          <w:lang w:val="fr-BE"/>
        </w:rPr>
        <w:t xml:space="preserve">les dispositions </w:t>
      </w:r>
      <w:r w:rsidRPr="00745E82">
        <w:rPr>
          <w:rFonts w:asciiTheme="minorHAnsi" w:hAnsiTheme="minorHAnsi"/>
          <w:i/>
          <w:lang w:val="fr-BE"/>
        </w:rPr>
        <w:t>sp</w:t>
      </w:r>
      <w:r>
        <w:rPr>
          <w:rFonts w:asciiTheme="minorHAnsi" w:hAnsiTheme="minorHAnsi"/>
          <w:i/>
          <w:lang w:val="fr-BE"/>
        </w:rPr>
        <w:t>é</w:t>
      </w:r>
      <w:r w:rsidRPr="00745E82">
        <w:rPr>
          <w:rFonts w:asciiTheme="minorHAnsi" w:hAnsiTheme="minorHAnsi"/>
          <w:i/>
          <w:lang w:val="fr-BE"/>
        </w:rPr>
        <w:t>cifi</w:t>
      </w:r>
      <w:r>
        <w:rPr>
          <w:rFonts w:asciiTheme="minorHAnsi" w:hAnsiTheme="minorHAnsi"/>
          <w:i/>
          <w:lang w:val="fr-BE"/>
        </w:rPr>
        <w:t xml:space="preserve">ques pour le transport de conteneurs </w:t>
      </w:r>
      <w:r w:rsidRPr="00745E82">
        <w:rPr>
          <w:rFonts w:asciiTheme="minorHAnsi" w:hAnsiTheme="minorHAnsi"/>
          <w:i/>
          <w:lang w:val="fr-BE"/>
        </w:rPr>
        <w:t>:</w:t>
      </w:r>
    </w:p>
    <w:p w:rsidR="00E11EA2" w:rsidRPr="00745E82" w:rsidRDefault="00E11EA2" w:rsidP="00E11EA2">
      <w:pPr>
        <w:numPr>
          <w:ilvl w:val="1"/>
          <w:numId w:val="5"/>
        </w:numPr>
        <w:jc w:val="left"/>
        <w:rPr>
          <w:rFonts w:asciiTheme="minorHAnsi" w:hAnsiTheme="minorHAnsi"/>
          <w:lang w:val="fr-BE"/>
        </w:rPr>
      </w:pPr>
      <w:r>
        <w:rPr>
          <w:rFonts w:asciiTheme="minorHAnsi" w:hAnsiTheme="minorHAnsi"/>
          <w:lang w:val="fr-BE"/>
        </w:rPr>
        <w:t>état et contenu du conteneur</w:t>
      </w:r>
    </w:p>
    <w:p w:rsidR="00E11EA2" w:rsidRPr="00745E82" w:rsidRDefault="00E11EA2" w:rsidP="00E11EA2">
      <w:pPr>
        <w:numPr>
          <w:ilvl w:val="1"/>
          <w:numId w:val="5"/>
        </w:numPr>
        <w:jc w:val="left"/>
        <w:rPr>
          <w:rFonts w:asciiTheme="minorHAnsi" w:hAnsiTheme="minorHAnsi"/>
          <w:lang w:val="fr-BE"/>
        </w:rPr>
      </w:pPr>
      <w:r>
        <w:rPr>
          <w:rFonts w:asciiTheme="minorHAnsi" w:hAnsiTheme="minorHAnsi"/>
          <w:lang w:val="fr-BE"/>
        </w:rPr>
        <w:t>nombre d’heures mise à disposition</w:t>
      </w:r>
    </w:p>
    <w:p w:rsidR="00E11EA2" w:rsidRPr="00745E82" w:rsidRDefault="00E11EA2" w:rsidP="00E11EA2">
      <w:pPr>
        <w:numPr>
          <w:ilvl w:val="1"/>
          <w:numId w:val="5"/>
        </w:numPr>
        <w:ind w:left="1434" w:hanging="357"/>
        <w:jc w:val="left"/>
        <w:rPr>
          <w:rFonts w:asciiTheme="minorHAnsi" w:hAnsiTheme="minorHAnsi"/>
          <w:lang w:val="fr-BE"/>
        </w:rPr>
      </w:pPr>
      <w:r>
        <w:rPr>
          <w:rFonts w:asciiTheme="minorHAnsi" w:hAnsiTheme="minorHAnsi"/>
          <w:lang w:val="fr-BE"/>
        </w:rPr>
        <w:t xml:space="preserve">heures d’attente sur le </w:t>
      </w:r>
      <w:r w:rsidRPr="00745E82">
        <w:rPr>
          <w:rFonts w:asciiTheme="minorHAnsi" w:hAnsiTheme="minorHAnsi"/>
          <w:lang w:val="fr-BE"/>
        </w:rPr>
        <w:t>terminal/d</w:t>
      </w:r>
      <w:r>
        <w:rPr>
          <w:rFonts w:asciiTheme="minorHAnsi" w:hAnsiTheme="minorHAnsi"/>
          <w:lang w:val="fr-BE"/>
        </w:rPr>
        <w:t>é</w:t>
      </w:r>
      <w:r w:rsidRPr="00745E82">
        <w:rPr>
          <w:rFonts w:asciiTheme="minorHAnsi" w:hAnsiTheme="minorHAnsi"/>
          <w:lang w:val="fr-BE"/>
        </w:rPr>
        <w:t>p</w:t>
      </w:r>
      <w:r>
        <w:rPr>
          <w:rFonts w:asciiTheme="minorHAnsi" w:hAnsiTheme="minorHAnsi"/>
          <w:lang w:val="fr-BE"/>
        </w:rPr>
        <w:t>ô</w:t>
      </w:r>
      <w:r w:rsidRPr="00745E82">
        <w:rPr>
          <w:rFonts w:asciiTheme="minorHAnsi" w:hAnsiTheme="minorHAnsi"/>
          <w:lang w:val="fr-BE"/>
        </w:rPr>
        <w:t>t</w:t>
      </w:r>
    </w:p>
    <w:p w:rsidR="00E11EA2" w:rsidRPr="00745E82" w:rsidRDefault="00E11EA2" w:rsidP="00E11EA2">
      <w:pPr>
        <w:jc w:val="left"/>
        <w:rPr>
          <w:rFonts w:asciiTheme="minorHAnsi" w:hAnsiTheme="minorHAnsi"/>
          <w:lang w:val="fr-BE"/>
        </w:rPr>
      </w:pPr>
    </w:p>
    <w:p w:rsidR="00E11EA2" w:rsidRPr="00745E82" w:rsidRDefault="00E11EA2" w:rsidP="00E11EA2">
      <w:pPr>
        <w:jc w:val="left"/>
        <w:rPr>
          <w:rFonts w:asciiTheme="minorHAnsi" w:hAnsiTheme="minorHAnsi"/>
          <w:lang w:val="fr-BE"/>
        </w:rPr>
      </w:pPr>
      <w:r>
        <w:rPr>
          <w:rFonts w:asciiTheme="minorHAnsi" w:hAnsiTheme="minorHAnsi"/>
          <w:lang w:val="fr-BE"/>
        </w:rPr>
        <w:t xml:space="preserve">Cette liste de formulations n’est pas </w:t>
      </w:r>
      <w:r w:rsidRPr="00745E82">
        <w:rPr>
          <w:rFonts w:asciiTheme="minorHAnsi" w:hAnsiTheme="minorHAnsi"/>
          <w:lang w:val="fr-BE"/>
        </w:rPr>
        <w:t>limitati</w:t>
      </w:r>
      <w:r>
        <w:rPr>
          <w:rFonts w:asciiTheme="minorHAnsi" w:hAnsiTheme="minorHAnsi"/>
          <w:lang w:val="fr-BE"/>
        </w:rPr>
        <w:t>v</w:t>
      </w:r>
      <w:r w:rsidRPr="00745E82">
        <w:rPr>
          <w:rFonts w:asciiTheme="minorHAnsi" w:hAnsiTheme="minorHAnsi"/>
          <w:lang w:val="fr-BE"/>
        </w:rPr>
        <w:t xml:space="preserve">e. </w:t>
      </w:r>
    </w:p>
    <w:p w:rsidR="00E11EA2" w:rsidRPr="00745E82" w:rsidRDefault="00E11EA2" w:rsidP="00E11EA2">
      <w:pPr>
        <w:jc w:val="left"/>
        <w:rPr>
          <w:rFonts w:asciiTheme="minorHAnsi" w:hAnsiTheme="minorHAnsi"/>
          <w:lang w:val="fr-BE"/>
        </w:rPr>
      </w:pPr>
    </w:p>
    <w:p w:rsidR="00E11EA2" w:rsidRPr="00745E8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p>
    <w:p w:rsidR="00E11EA2" w:rsidRPr="00745E8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r w:rsidRPr="00745E82">
        <w:rPr>
          <w:rFonts w:asciiTheme="minorHAnsi" w:hAnsiTheme="minorHAnsi"/>
          <w:lang w:val="fr-BE"/>
        </w:rPr>
        <w:t xml:space="preserve">!!! </w:t>
      </w:r>
      <w:r>
        <w:rPr>
          <w:rFonts w:asciiTheme="minorHAnsi" w:hAnsiTheme="minorHAnsi"/>
          <w:lang w:val="fr-BE"/>
        </w:rPr>
        <w:t>REMARQUE IMPORTANTE</w:t>
      </w:r>
      <w:r w:rsidRPr="00745E82">
        <w:rPr>
          <w:rFonts w:asciiTheme="minorHAnsi" w:hAnsiTheme="minorHAnsi"/>
          <w:lang w:val="fr-BE"/>
        </w:rPr>
        <w:t xml:space="preserve"> </w:t>
      </w:r>
      <w:proofErr w:type="gramStart"/>
      <w:r w:rsidRPr="00745E82">
        <w:rPr>
          <w:rFonts w:asciiTheme="minorHAnsi" w:hAnsiTheme="minorHAnsi"/>
          <w:lang w:val="fr-BE"/>
        </w:rPr>
        <w:t>!!!</w:t>
      </w:r>
      <w:proofErr w:type="gramEnd"/>
    </w:p>
    <w:p w:rsidR="00E11EA2" w:rsidRPr="00745E8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p>
    <w:p w:rsidR="00E11EA2" w:rsidRPr="00745E8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r>
        <w:rPr>
          <w:rFonts w:asciiTheme="minorHAnsi" w:hAnsiTheme="minorHAnsi"/>
          <w:lang w:val="fr-BE"/>
        </w:rPr>
        <w:t xml:space="preserve">LES EXEMPLES DE CLAUSES CI-DESSOUS NE PEUVENT EN AUCUN CAS ÊTRE CONSIDÉRÉS COMME DES CONDITIONS GÉNÉRALES CONTRAIGNANTES, NI À INTRODUIRE OBLIGATOIREMENT. ILS SONT DONNÉS </w:t>
      </w:r>
      <w:r w:rsidRPr="00C45D36">
        <w:rPr>
          <w:rFonts w:asciiTheme="minorHAnsi" w:hAnsiTheme="minorHAnsi"/>
          <w:u w:val="single"/>
          <w:lang w:val="fr-BE"/>
        </w:rPr>
        <w:t>EXCLUSIVEMENT</w:t>
      </w:r>
      <w:r>
        <w:rPr>
          <w:rFonts w:asciiTheme="minorHAnsi" w:hAnsiTheme="minorHAnsi"/>
          <w:lang w:val="fr-BE"/>
        </w:rPr>
        <w:t xml:space="preserve"> EN ILLUSTRATION DE CE QUE LE TRANSPORTEUR PEUT UTILISER SUR </w:t>
      </w:r>
      <w:r w:rsidRPr="00C45D36">
        <w:rPr>
          <w:rFonts w:asciiTheme="minorHAnsi" w:hAnsiTheme="minorHAnsi"/>
          <w:u w:val="single"/>
          <w:lang w:val="fr-BE"/>
        </w:rPr>
        <w:t>BASE INDIVIDUELLE</w:t>
      </w:r>
      <w:r>
        <w:rPr>
          <w:rFonts w:asciiTheme="minorHAnsi" w:hAnsiTheme="minorHAnsi"/>
          <w:lang w:val="fr-BE"/>
        </w:rPr>
        <w:t xml:space="preserve">. </w:t>
      </w:r>
    </w:p>
    <w:p w:rsidR="00E11EA2" w:rsidRPr="00745E8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p>
    <w:p w:rsidR="00E11EA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r>
        <w:rPr>
          <w:rFonts w:asciiTheme="minorHAnsi" w:hAnsiTheme="minorHAnsi"/>
          <w:lang w:val="fr-BE"/>
        </w:rPr>
        <w:t xml:space="preserve">LA FEBETRA, l’UPTR ET </w:t>
      </w:r>
      <w:r w:rsidRPr="00745E82">
        <w:rPr>
          <w:rFonts w:asciiTheme="minorHAnsi" w:hAnsiTheme="minorHAnsi"/>
          <w:lang w:val="fr-BE"/>
        </w:rPr>
        <w:t xml:space="preserve">TRANSPORT EN LOGISTIEK VLAANDEREN </w:t>
      </w:r>
      <w:r>
        <w:rPr>
          <w:rFonts w:asciiTheme="minorHAnsi" w:hAnsiTheme="minorHAnsi"/>
          <w:lang w:val="fr-BE"/>
        </w:rPr>
        <w:t xml:space="preserve">S’ABSTIENNENT DE TOUTE ACTION QUI POURRAIT AMENER À UNE COORDINATION DES PRIX. C’EST POURQUOI LA FEBETRA, l’UPTR ET </w:t>
      </w:r>
      <w:r w:rsidRPr="00745E82">
        <w:rPr>
          <w:rFonts w:asciiTheme="minorHAnsi" w:hAnsiTheme="minorHAnsi"/>
          <w:lang w:val="fr-BE"/>
        </w:rPr>
        <w:t>TRANSPORT EN LOGISTIEK VLAANDEREN</w:t>
      </w:r>
      <w:r>
        <w:rPr>
          <w:rFonts w:asciiTheme="minorHAnsi" w:hAnsiTheme="minorHAnsi"/>
          <w:lang w:val="fr-BE"/>
        </w:rPr>
        <w:t xml:space="preserve"> NE PRÉSENTENT LES FORMULATIONS CI-DESSOUS QUE COMME EXEMPLE POUR LA RÉDACTION DE CONDITIONS INDIVIDUELLES.</w:t>
      </w:r>
    </w:p>
    <w:p w:rsidR="00E11EA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p>
    <w:p w:rsidR="00E11EA2" w:rsidRPr="00745E8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r>
        <w:rPr>
          <w:rFonts w:asciiTheme="minorHAnsi" w:hAnsiTheme="minorHAnsi"/>
          <w:lang w:val="fr-BE"/>
        </w:rPr>
        <w:t xml:space="preserve">LES EXEMPLES NE MENTIONNENT AUCUN MONTANT OU TARIF CONCRETS, NI MODE DE CALCUL, NI AUTRE DONNÉE (CHIFFRÉE) </w:t>
      </w:r>
      <w:proofErr w:type="gramStart"/>
      <w:r>
        <w:rPr>
          <w:rFonts w:asciiTheme="minorHAnsi" w:hAnsiTheme="minorHAnsi"/>
          <w:lang w:val="fr-BE"/>
        </w:rPr>
        <w:t>CONCRÈTE</w:t>
      </w:r>
      <w:proofErr w:type="gramEnd"/>
      <w:r>
        <w:rPr>
          <w:rFonts w:asciiTheme="minorHAnsi" w:hAnsiTheme="minorHAnsi"/>
          <w:lang w:val="fr-BE"/>
        </w:rPr>
        <w:t>. CELA APPARTIENT À LA DÉCISION AUTONOME DE CHAQUE TRANSPORTEUR INDIVIDUEL.</w:t>
      </w:r>
      <w:r w:rsidRPr="00745E82">
        <w:rPr>
          <w:rFonts w:asciiTheme="minorHAnsi" w:hAnsiTheme="minorHAnsi"/>
          <w:lang w:val="fr-BE"/>
        </w:rPr>
        <w:t xml:space="preserve"> </w:t>
      </w:r>
    </w:p>
    <w:p w:rsidR="00E11EA2" w:rsidRPr="00745E82" w:rsidRDefault="00E11EA2" w:rsidP="00E11EA2">
      <w:pPr>
        <w:pBdr>
          <w:top w:val="single" w:sz="4" w:space="1" w:color="auto"/>
          <w:left w:val="single" w:sz="4" w:space="4" w:color="auto"/>
          <w:bottom w:val="single" w:sz="4" w:space="1" w:color="auto"/>
          <w:right w:val="single" w:sz="4" w:space="4" w:color="auto"/>
        </w:pBdr>
        <w:jc w:val="left"/>
        <w:rPr>
          <w:rFonts w:asciiTheme="minorHAnsi" w:hAnsiTheme="minorHAnsi"/>
          <w:lang w:val="fr-BE"/>
        </w:rPr>
      </w:pPr>
    </w:p>
    <w:p w:rsidR="001624F5" w:rsidRPr="00E11EA2" w:rsidRDefault="00E11EA2" w:rsidP="00E11EA2">
      <w:pPr>
        <w:jc w:val="both"/>
        <w:rPr>
          <w:lang w:val="fr-BE"/>
        </w:rPr>
      </w:pPr>
      <w:bookmarkStart w:id="0" w:name="_GoBack"/>
      <w:bookmarkEnd w:id="0"/>
    </w:p>
    <w:sectPr w:rsidR="001624F5" w:rsidRPr="00E11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1EF1"/>
    <w:multiLevelType w:val="hybridMultilevel"/>
    <w:tmpl w:val="95148722"/>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2820A1"/>
    <w:multiLevelType w:val="hybridMultilevel"/>
    <w:tmpl w:val="D84C58F6"/>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D425A7"/>
    <w:multiLevelType w:val="hybridMultilevel"/>
    <w:tmpl w:val="87FC7764"/>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383E08"/>
    <w:multiLevelType w:val="hybridMultilevel"/>
    <w:tmpl w:val="F5B4B6CC"/>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5D7897"/>
    <w:multiLevelType w:val="hybridMultilevel"/>
    <w:tmpl w:val="3274086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A2"/>
    <w:rsid w:val="000670F7"/>
    <w:rsid w:val="000C0A6E"/>
    <w:rsid w:val="00183D17"/>
    <w:rsid w:val="003D7EE4"/>
    <w:rsid w:val="00436010"/>
    <w:rsid w:val="004B6997"/>
    <w:rsid w:val="00721C7F"/>
    <w:rsid w:val="00775552"/>
    <w:rsid w:val="007E2C2B"/>
    <w:rsid w:val="00CC2F94"/>
    <w:rsid w:val="00E02C92"/>
    <w:rsid w:val="00E11E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21CF-84B6-486F-8E8F-35E12666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A2"/>
    <w:pPr>
      <w:spacing w:after="0" w:line="240" w:lineRule="auto"/>
      <w:jc w:val="center"/>
    </w:pPr>
    <w:rPr>
      <w:rFonts w:ascii="Calibri" w:eastAsia="Calibri"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Impe</dc:creator>
  <cp:keywords/>
  <dc:description/>
  <cp:lastModifiedBy>Patricia Van Impe</cp:lastModifiedBy>
  <cp:revision>1</cp:revision>
  <dcterms:created xsi:type="dcterms:W3CDTF">2016-03-18T10:28:00Z</dcterms:created>
  <dcterms:modified xsi:type="dcterms:W3CDTF">2016-03-18T10:29:00Z</dcterms:modified>
</cp:coreProperties>
</file>